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Notice of petitions for special legislation pertaining to fish 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Notice of petitions for special legislation pertaining to fish 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§125. NOTICE OF PETITIONS FOR SPECIAL LEGISLATION PERTAINING TO FISH 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