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172-A</w:t>
        <w:t xml:space="preserve">.  </w:t>
      </w:r>
      <w:r>
        <w:rPr>
          <w:b/>
        </w:rPr>
        <w:t xml:space="preserve">State Law Library; administration</w:t>
      </w:r>
    </w:p>
    <w:p>
      <w:pPr>
        <w:jc w:val="both"/>
        <w:spacing w:before="100" w:after="100"/>
        <w:ind w:start="360"/>
        <w:ind w:firstLine="360"/>
      </w:pPr>
      <w:r>
        <w:rPr/>
      </w:r>
      <w:r>
        <w:rPr/>
      </w:r>
      <w:r>
        <w:t xml:space="preserve">The Executive Director of the Legislative Council shall assign, direct and supervise, subject to the control of the council, the activities of the State law and legislative reference library.</w:t>
      </w:r>
      <w:r>
        <w:t xml:space="preserve">  </w:t>
      </w:r>
      <w:r xmlns:wp="http://schemas.openxmlformats.org/drawingml/2010/wordprocessingDrawing" xmlns:w15="http://schemas.microsoft.com/office/word/2012/wordml">
        <w:rPr>
          <w:rFonts w:ascii="Arial" w:hAnsi="Arial" w:cs="Arial"/>
          <w:sz w:val="22"/>
          <w:szCs w:val="22"/>
        </w:rPr>
        <w:t xml:space="preserve">[PL 1985, c. 501,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§172-A. State Law Library;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§172-A. State Law Library;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§172-A. STATE LAW LIBRARY;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