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Maine-Canadian Legislative Advisory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§223. MAINE-CANADIAN LEGISLATIVE ADVISORY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