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Analysis of proposed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Analysis of proposed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§551. ANALYSIS OF PROPOSED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