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chapter,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Maine Public Employees Retirement System before issuance of the payment; and</w:t>
      </w:r>
      <w:r>
        <w:t xml:space="preserve">  </w:t>
      </w:r>
      <w:r xmlns:wp="http://schemas.openxmlformats.org/drawingml/2010/wordprocessingDrawing" xmlns:w15="http://schemas.microsoft.com/office/word/2012/wordml">
        <w:rPr>
          <w:rFonts w:ascii="Arial" w:hAnsi="Arial" w:cs="Arial"/>
          <w:sz w:val="22"/>
          <w:szCs w:val="22"/>
        </w:rPr>
        <w:t xml:space="preserve">[PL 2007, c. 491, §22 (AMD).]</w:t>
      </w:r>
    </w:p>
    <w:p>
      <w:pPr>
        <w:jc w:val="both"/>
        <w:spacing w:before="100" w:after="0"/>
        <w:ind w:start="720"/>
      </w:pPr>
      <w:r>
        <w:rPr/>
        <w:t>D</w:t>
        <w:t xml:space="preserve">.  </w:t>
      </w:r>
      <w:r>
        <w:rPr/>
      </w:r>
      <w:r>
        <w:t xml:space="preserve">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137, §3 (NEW). PL 2007, c. 491,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§805-A. Refund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§805-A. Refund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§805-A. REFUND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