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MUNICIPAL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jc w:val="center"/>
        <w:ind w:start="360"/>
        <w:spacing w:before="300" w:after="300"/>
      </w:pPr>
      <w:r>
        <w:rPr>
          <w:b/>
        </w:rPr>
        <w:t>SUBCHAPTER</w:t>
        <w:t xml:space="preserve"> </w:t>
        <w:t>2</w:t>
      </w:r>
    </w:p>
    <w:p>
      <w:pPr>
        <w:jc w:val="center"/>
        <w:ind w:start="360"/>
        <w:spacing w:before="300" w:after="300"/>
      </w:pPr>
      <w:r>
        <w:rPr>
          <w:b/>
        </w:rPr>
        <w:t xml:space="preserve">STATE FUNDS</w:t>
      </w:r>
    </w:p>
    <w:p>
      <w:pPr>
        <w:jc w:val="both"/>
        <w:spacing w:before="100" w:after="100"/>
        <w:ind w:start="1080" w:hanging="720"/>
      </w:pPr>
      <w:r>
        <w:rPr>
          <w:b/>
        </w:rPr>
        <w:t>§</w:t>
        <w:t>5681</w:t>
        <w:t xml:space="preserve">.  </w:t>
      </w:r>
      <w:r>
        <w:rPr>
          <w:b/>
        </w:rPr>
        <w:t xml:space="preserve">State-municipal revenue sharing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w:t>
      </w:r>
      <w:r>
        <w:t xml:space="preserve">  </w:t>
      </w:r>
      <w:r xmlns:wp="http://schemas.openxmlformats.org/drawingml/2010/wordprocessingDrawing" xmlns:w15="http://schemas.microsoft.com/office/word/2012/wordml">
        <w:rPr>
          <w:rFonts w:ascii="Arial" w:hAnsi="Arial" w:cs="Arial"/>
          <w:sz w:val="22"/>
          <w:szCs w:val="22"/>
        </w:rPr>
        <w:t xml:space="preserve">[PL 2023, c. 629, §1 (AMD); PL 2023, c. 629,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2023, c. 629, §2 (AMD); PL 2023, c. 629, §3 (AFF).]</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629, §§1, 2 (AMD); PL 2023, c. 629, §3 (AFF).]</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(TEXT EFFECTIVE UNTIL 1/01/25)</w:t>
        <w:t xml:space="preserve"> </w:t>
      </w:r>
      <w:r>
        <w:rPr>
          <w:b/>
        </w:rPr>
        <w:t xml:space="preserve">Transfers to funds.</w:t>
        <w:t xml:space="preserve"> </w:t>
      </w:r>
      <w:r>
        <w:t xml:space="preserve"> </w:t>
      </w:r>
      <w:r>
        <w:t xml:space="preserve">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and except that the postage, state cost allocation program and programming costs of administering state-municipal revenue sharing may be paid by the Local Government Fund.  A percentage share of the amounts transferred to the Local Government Fund each month must be transferred to the Disproportionate Tax Burden Fund and distributed pursuant to </w:t>
      </w:r>
      <w:r>
        <w:t>subsection 4‑B</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For months beginning on or after July 1, 2009 but before July 1, 2010, 15%;</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D</w:t>
        <w:t xml:space="preserve">.  </w:t>
      </w:r>
      <w:r>
        <w:rPr/>
      </w:r>
      <w:r>
        <w:t xml:space="preserve">For months beginning on or after July 1, 2010 but before July 1, 2011, 16%;</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E</w:t>
        <w:t xml:space="preserve">.  </w:t>
      </w:r>
      <w:r>
        <w:rPr/>
      </w:r>
      <w:r>
        <w:t xml:space="preserve">For months beginning on or after July 1, 2011 but before July 1, 2012, 17%;</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F</w:t>
        <w:t xml:space="preserve">.  </w:t>
      </w:r>
      <w:r>
        <w:rPr/>
      </w:r>
      <w:r>
        <w:t xml:space="preserve">For months beginning on or after July 1, 2012 but before July 1, 2013, 18%;</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G</w:t>
        <w:t xml:space="preserve">.  </w:t>
      </w:r>
      <w:r>
        <w:rPr/>
      </w:r>
      <w:r>
        <w:t xml:space="preserve">For months beginning on or after July 1, 2013 but before July 1, 2014, 19%; and</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H</w:t>
        <w:t xml:space="preserve">.  </w:t>
      </w:r>
      <w:r>
        <w:rPr/>
      </w:r>
      <w:r>
        <w:t xml:space="preserve">For months beginning on or after July 1, 2014, 20%.</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 §1 (AMD).]</w:t>
      </w:r>
    </w:p>
    <w:p>
      <w:pPr>
        <w:jc w:val="both"/>
        <w:spacing w:before="100" w:after="100"/>
        <w:ind w:start="360"/>
        <w:ind w:firstLine="360"/>
      </w:pPr>
      <w:r>
        <w:rPr>
          <w:b/>
        </w:rPr>
        <w:t>5</w:t>
        <w:t xml:space="preserve">.  </w:t>
      </w:r>
      <w:r>
        <w:rPr>
          <w:b/>
        </w:rPr>
        <w:t>(TEXT EFFECTIVE 1/01/25)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Title 5, chapter 151‑B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PL 2023, c. 603, §1 (AMD). PL 2023, c. 629, §§1, 2 (AMD). PL 2023, c. 629, §3 (AFF). </w:t>
      </w:r>
    </w:p>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jc w:val="center"/>
        <w:ind w:start="360"/>
        <w:spacing w:before="300" w:after="300"/>
      </w:pPr>
      <w:r>
        <w:rPr>
          <w:b/>
        </w:rPr>
        <w:t>SUBCHAPTER</w:t>
        <w:t xml:space="preserve"> </w:t>
        <w:t>3</w:t>
      </w:r>
    </w:p>
    <w:p>
      <w:pPr>
        <w:jc w:val="center"/>
        <w:ind w:start="360"/>
        <w:spacing w:before="300" w:after="300"/>
      </w:pPr>
      <w:r>
        <w:rPr>
          <w:b/>
        </w:rPr>
        <w:t xml:space="preserve">MUNICIPAL DEBT</w:t>
      </w:r>
    </w:p>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Upon request from the Maine Municipal Bond Bank, a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2023, c. 608, §3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must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must be filed within 45 days of the end date of the fiscal year in which the Maine Municipal Bond Bank made the request under </w:t>
      </w:r>
      <w:r>
        <w:t>subsection 1</w:t>
      </w:r>
      <w:r>
        <w:t xml:space="preserve">.  The reports must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608, §3 (AMD). </w:t>
      </w:r>
    </w:p>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jc w:val="center"/>
        <w:ind w:start="360"/>
        <w:spacing w:before="300" w:after="300"/>
      </w:pPr>
      <w:r>
        <w:rPr>
          <w:b/>
        </w:rPr>
        <w:t>SUBCHAPTER</w:t>
        <w:t xml:space="preserve"> </w:t>
        <w:t>3-A</w:t>
      </w:r>
    </w:p>
    <w:p>
      <w:pPr>
        <w:jc w:val="center"/>
        <w:ind w:start="360"/>
        <w:spacing w:before="300" w:after="300"/>
      </w:pPr>
      <w:r>
        <w:rPr>
          <w:b/>
        </w:rPr>
        <w:t xml:space="preserve">MUNICIPAL INVESTMENTS</w:t>
      </w:r>
    </w:p>
    <w:p>
      <w:pPr>
        <w:jc w:val="center"/>
        <w:ind w:start="360"/>
        <w:spacing w:before="300" w:after="300"/>
      </w:pPr>
      <w:r>
        <w:rPr>
          <w:b/>
        </w:rPr>
        <w:t>ARTICLE</w:t>
        <w:t xml:space="preserve"> </w:t>
        <w:t>1</w:t>
      </w:r>
    </w:p>
    <w:p>
      <w:pPr>
        <w:jc w:val="center"/>
        <w:ind w:start="360"/>
        <w:spacing w:before="300" w:after="300"/>
      </w:pPr>
      <w:r>
        <w:rPr>
          <w:b/>
        </w:rPr>
        <w:t xml:space="preserve">GENERAL INVESTMENTS</w:t>
      </w:r>
    </w:p>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jc w:val="center"/>
        <w:ind w:start="360"/>
        <w:spacing w:before="300" w:after="300"/>
      </w:pPr>
      <w:r>
        <w:rPr>
          <w:b/>
        </w:rPr>
        <w:t>ARTICLE</w:t>
        <w:t xml:space="preserve"> </w:t>
        <w:t>2</w:t>
      </w:r>
    </w:p>
    <w:p>
      <w:pPr>
        <w:jc w:val="center"/>
        <w:ind w:start="360"/>
        <w:spacing w:before="300" w:after="300"/>
      </w:pPr>
      <w:r>
        <w:rPr>
          <w:b/>
        </w:rPr>
        <w:t xml:space="preserve">INVESTMENTS IN SECURITIES</w:t>
      </w:r>
    </w:p>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center"/>
        <w:ind w:start="360"/>
        <w:spacing w:before="300" w:after="300"/>
      </w:pPr>
      <w:r>
        <w:rPr>
          <w:b/>
        </w:rPr>
        <w:t>SUBCHAPTER</w:t>
        <w:t xml:space="preserve"> </w:t>
        <w:t>4</w:t>
      </w:r>
    </w:p>
    <w:p>
      <w:pPr>
        <w:jc w:val="center"/>
        <w:ind w:start="360"/>
        <w:spacing w:before="300" w:after="300"/>
      </w:pPr>
      <w:r>
        <w:rPr>
          <w:b/>
        </w:rPr>
        <w:t xml:space="preserve">EXPENDITURES</w:t>
      </w:r>
    </w:p>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PL 2023, c. 603, §2 (RP). </w:t>
      </w:r>
    </w:p>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jc w:val="center"/>
        <w:ind w:start="360"/>
        <w:spacing w:before="300" w:after="300"/>
      </w:pPr>
      <w:r>
        <w:rPr>
          <w:b/>
        </w:rPr>
        <w:t>SUBCHAPTER</w:t>
        <w:t xml:space="preserve"> </w:t>
        <w:t>5</w:t>
      </w:r>
    </w:p>
    <w:p>
      <w:pPr>
        <w:jc w:val="center"/>
        <w:ind w:start="360"/>
        <w:spacing w:before="300" w:after="300"/>
      </w:pPr>
      <w:r>
        <w:rPr>
          <w:b/>
        </w:rPr>
        <w:t xml:space="preserve">TAX BASE SHARING</w:t>
      </w:r>
    </w:p>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BORROWING</w:t>
      </w:r>
    </w:p>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jc w:val="center"/>
        <w:ind w:start="360"/>
        <w:spacing w:before="300" w:after="300"/>
      </w:pPr>
      <w:r>
        <w:rPr>
          <w:b/>
        </w:rPr>
        <w:t>SUBCHAPTER</w:t>
        <w:t xml:space="preserve"> </w:t>
        <w:t>7</w:t>
      </w:r>
    </w:p>
    <w:p>
      <w:pPr>
        <w:jc w:val="center"/>
        <w:ind w:start="360"/>
        <w:spacing w:before="300" w:after="300"/>
      </w:pPr>
      <w:r>
        <w:rPr>
          <w:b/>
        </w:rPr>
        <w:t xml:space="preserve">RESERVE FUND</w:t>
      </w:r>
    </w:p>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ACCOUNTS AND AUDITS</w:t>
      </w:r>
    </w:p>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223. MUNICIPAL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MUNICIPAL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223. MUNICIPAL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