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1562-A</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sheriff or jailer shall cause a medical examiner to be immediately notified for that purpose pursuant to </w:t>
      </w:r>
      <w:r>
        <w:t>Title 22, section 3025</w:t>
      </w:r>
      <w:r>
        <w:t xml:space="preserve">.  For purposes of this section, "custody" means custody pursuant to an arrest, confinement in a county jail or other county correctional facility or when the person is on the way to or from a courthouse or any of these places while in the custody of a county law enforcement officer or county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§3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 §2 (NEW). PL 2011, c. 420, Pt. D, §3 (AMD). PL 2011, c. 420,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§1562-A. Death of a person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§1562-A. Death of a person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§1562-A. DEATH OF A PERSON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