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Municipality as body corporate</w:t>
      </w:r>
    </w:p>
    <w:p>
      <w:pPr>
        <w:jc w:val="both"/>
        <w:spacing w:before="100" w:after="100"/>
        <w:ind w:start="360"/>
        <w:ind w:firstLine="360"/>
      </w:pPr>
      <w:r>
        <w:rPr/>
      </w:r>
      <w:r>
        <w:rPr/>
      </w:r>
      <w:r>
        <w:t xml:space="preserve">The residents of a municipality are a body corporate which may sue and be sued, appoint attorneys and adopt a seal.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§2002. Municipality as body 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Municipality as body 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§2002. MUNICIPALITY AS BODY 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