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2352</w:t>
        <w:t xml:space="preserve">.  </w:t>
      </w:r>
      <w:r>
        <w:rPr>
          <w:b/>
        </w:rPr>
        <w:t xml:space="preserve">Charter amendments</w:t>
      </w:r>
    </w:p>
    <w:p>
      <w:pPr>
        <w:jc w:val="both"/>
        <w:spacing w:before="100" w:after="100"/>
        <w:ind w:start="360"/>
        <w:ind w:firstLine="360"/>
      </w:pPr>
      <w:r>
        <w:rPr/>
      </w:r>
      <w:r>
        <w:rPr/>
      </w:r>
      <w:r>
        <w:t xml:space="preserve">If, after the board of trustees of the quasi-municipal corporation or district holds a public hearing on the proposed amendment, the board unanimously votes in favor of an amendment to the charter of the quasi-municipal corporation or district, the board shall submit that amendment to the joint standing committee of the Legislature having jurisdiction over utilities to be included in the annual omnibus legislation as provided in </w:t>
      </w:r>
      <w:r>
        <w:t>section 2355</w:t>
      </w:r>
      <w:r>
        <w:t xml:space="preserve">.  The amendment is effective upon the effective date of the omnibus legislation.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§2352. Charter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§2352. Charter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§2352. CHARTER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