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Criminal proceedings</w:t>
      </w:r>
    </w:p>
    <w:p>
      <w:pPr>
        <w:jc w:val="both"/>
        <w:spacing w:before="100" w:after="100"/>
        <w:ind w:start="360"/>
        <w:ind w:firstLine="360"/>
      </w:pPr>
      <w:r>
        <w:rPr/>
      </w:r>
      <w:r>
        <w:rPr/>
      </w:r>
      <w:r>
        <w:t xml:space="preserve">The district attorney shall attend all criminal terms held in the counties within the prosecutorial district for which the district attorney was elected and act for the State in all cases in which the State or county is an interested party.  Unless the district attorney makes an order of dismissal under </w:t>
      </w:r>
      <w:r>
        <w:t>section 284</w:t>
      </w:r>
      <w:r>
        <w:t xml:space="preserve">, the district attorney or someone acting under the district attorney's direction shall prosecute all criminal cases and shall be present at the trial of any such case before the District Court of any of the counties within the district.  If the Attorney General is absent from a term in any of the counties, the district attorney shall perform the Attorney General's duties in state cases, in any of the counties, under directions from the Attorney General.  The district attorney shall appear and act for the State with the Attorney General in the Law Court in all state cases coming into that court from any of the counties.  No additional compensation may accrue to the district attorney for performing these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 Criminal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Criminal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§283. CRIMINAL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