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2959</w:t>
        <w:t xml:space="preserve">.  </w:t>
      </w:r>
      <w:r>
        <w:rPr>
          <w:b/>
        </w:rPr>
        <w:t xml:space="preserve">Assignment of parts before fence is built</w:t>
      </w:r>
    </w:p>
    <w:p>
      <w:pPr>
        <w:jc w:val="both"/>
        <w:spacing w:before="100" w:after="100"/>
        <w:ind w:start="360"/>
        <w:ind w:firstLine="360"/>
      </w:pPr>
      <w:r>
        <w:rPr/>
      </w:r>
      <w:r>
        <w:rPr/>
      </w:r>
      <w:r>
        <w:t xml:space="preserve">When adjacent lands have been occupied in common without a partition fence and either party desires to occupy in severalty or when it is necessary to make a fence running into the water and the parties liable to build and maintain it disagree, either party may apply to the fence viewers of the town, who shall proceed as in </w:t>
      </w:r>
      <w:r>
        <w:t>section 2955</w:t>
      </w:r>
      <w:r>
        <w:t xml:space="preserve">, except that the fence viewers may allow longer than 30 days for building the fence, having regard to the season of the year.  In other respects, the remedy shall be as provided in </w:t>
      </w:r>
      <w:r>
        <w:t>section 2955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§2959. Assignment of parts before fence is built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§2959. Assignment of parts before fence is built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§2959. ASSIGNMENT OF PARTS BEFORE FENCE IS BUILT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