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§3009-A. Enforcement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§3009-A. Enforcement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§3009-A. ENFORCEMENT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