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§3102. Improvement of navigation and prevention of erosion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Improvement of navigation and prevention of erosion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§3102. IMPROVEMENT OF NAVIGATION AND PREVENTION OF EROSION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