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License required</w:t>
      </w:r>
    </w:p>
    <w:p>
      <w:pPr>
        <w:jc w:val="both"/>
        <w:spacing w:before="100" w:after="100"/>
        <w:ind w:start="360"/>
        <w:ind w:firstLine="360"/>
      </w:pPr>
      <w:r>
        <w:rPr/>
      </w:r>
      <w:r>
        <w:rPr/>
      </w:r>
      <w:r>
        <w:t xml:space="preserve">A person may not be a common innkeeper or tavernkeeper without a license.  A person who violates this section commits a civil violation for which a forfeiture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446, §1 (AMD).]</w:t>
      </w:r>
    </w:p>
    <w:p>
      <w:pPr>
        <w:jc w:val="both"/>
        <w:spacing w:before="100" w:after="0"/>
        <w:ind w:start="360"/>
        <w:ind w:firstLine="360"/>
      </w:pPr>
      <w:r>
        <w:rPr>
          <w:b/>
        </w:rPr>
        <w:t>1</w:t>
        <w:t xml:space="preserve">.  </w:t>
      </w:r>
      <w:r>
        <w:rPr>
          <w:b/>
        </w:rPr>
        <w:t xml:space="preserve">Lodging houses; licenses.</w:t>
        <w:t xml:space="preserve"> </w:t>
      </w:r>
      <w:r>
        <w:t xml:space="preserve"> </w:t>
      </w:r>
      <w:r>
        <w:t xml:space="preserve">The municipal officers may enact ordinances requiring lodging houses to be licensed.  These licenses may be issued by the licensing board under </w:t>
      </w:r>
      <w:r>
        <w:t>section 3812</w:t>
      </w:r>
      <w:r>
        <w:t xml:space="preserve"> and are subject to the same expiration dates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