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§4153. Effect on bylaws or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Effect on bylaws or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§4153. EFFECT ON BYLAWS OR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