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Legislative intent</w:t>
      </w:r>
    </w:p>
    <w:p>
      <w:pPr>
        <w:jc w:val="both"/>
        <w:spacing w:before="100" w:after="100"/>
        <w:ind w:start="360"/>
        <w:ind w:firstLine="360"/>
      </w:pPr>
      <w:r>
        <w:rPr/>
      </w:r>
      <w:r>
        <w:rPr/>
      </w:r>
      <w:r>
        <w:t xml:space="preserve">It is the intent of the Legislature that local jurisdictions have primary responsibility for enforcing rules adopted by the department governing the installation and inspection of subsurface wastewater disposal systems. The adoption of rules by the department does not deny municipal authority under </w:t>
      </w:r>
      <w:r>
        <w:t>section 3001</w:t>
      </w:r>
      <w:r>
        <w:t xml:space="preserve"> to adopt more restrictive ordinances.</w:t>
      </w:r>
      <w:r>
        <w:t xml:space="preserve">  </w:t>
      </w:r>
      <w:r xmlns:wp="http://schemas.openxmlformats.org/drawingml/2010/wordprocessingDrawing" xmlns:w15="http://schemas.microsoft.com/office/word/2012/wordml">
        <w:rPr>
          <w:rFonts w:ascii="Arial" w:hAnsi="Arial" w:cs="Arial"/>
          <w:sz w:val="22"/>
          <w:szCs w:val="22"/>
        </w:rPr>
        <w:t xml:space="preserve">[PL 1999, c. 228,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§4214.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§4214.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