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§4364-B. Accessory dwelling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§4364-B. Accessory dwelling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§4364-B. ACCESSORY DWELLING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