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4746</w:t>
        <w:t xml:space="preserve">.  </w:t>
      </w:r>
      <w:r>
        <w:rPr>
          <w:b/>
        </w:rPr>
        <w:t xml:space="preserve">Eminent domain</w:t>
      </w:r>
    </w:p>
    <w:p>
      <w:pPr>
        <w:jc w:val="both"/>
        <w:spacing w:before="100" w:after="100"/>
        <w:ind w:start="360"/>
        <w:ind w:firstLine="360"/>
      </w:pPr>
      <w:r>
        <w:rPr/>
      </w:r>
      <w:r>
        <w:rPr/>
      </w:r>
      <w:r>
        <w:t xml:space="preserve">An authority may acquire by the exercise of eminent domain any real property which it considers necessary for its purposes under this chapter.  The authority must first adopt a resolution declaring that the acquisition of the real property described in the resolution is necessary for those purposes.  An authority shall exercise the power of eminent domain in the manner provided in </w:t>
      </w:r>
      <w:r>
        <w:t>section 5108</w:t>
      </w:r>
      <w:r>
        <w:t xml:space="preserve">, but references in section 5108 to an urban renewal project and a renewal project area and the like do not apply.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§4746.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§4746.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§4746.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