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4801</w:t>
        <w:t xml:space="preserve">.  </w:t>
      </w:r>
      <w:r>
        <w:rPr>
          <w:b/>
        </w:rPr>
        <w:t xml:space="preserve">Findings and purpose</w:t>
      </w:r>
    </w:p>
    <w:p>
      <w:pPr>
        <w:jc w:val="both"/>
        <w:spacing w:before="100" w:after="100"/>
        <w:ind w:start="360"/>
        <w:ind w:firstLine="360"/>
      </w:pPr>
      <w:r>
        <w:rPr/>
      </w:r>
      <w:r>
        <w:rPr/>
      </w:r>
      <w:r>
        <w:t xml:space="preserve">The Legislature finds that economic conditions have, from time to time since the original enactment of the Maine Housing Authorities Act, created circumstances in which Maine residents have been unable to support financing costs for the purchase of new or substantially rehabilitated homes or for the purchase of existing housing.  To provide mortgage funds to allow Maine citizens who are persons of low income to enjoy the benefits of home ownership or residency in privately owned apartments, the expansion of the financial capacity of the Maine State Housing Authority as a source of additional loan money for housing in Maine is undertaken in this subchapter.  It is further declared that the purposes of this subchapter are public purposes and uses for which public funds may be borrowed, loaned, advanced or expended.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§4801.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§4801.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§4801.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