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4993</w:t>
        <w:t xml:space="preserve">.  </w:t>
      </w:r>
      <w:r>
        <w:rPr>
          <w:b/>
        </w:rPr>
        <w:t xml:space="preserve">Penalty</w:t>
      </w:r>
    </w:p>
    <w:p>
      <w:pPr>
        <w:jc w:val="both"/>
        <w:spacing w:before="100" w:after="100"/>
        <w:ind w:start="360"/>
        <w:ind w:firstLine="360"/>
      </w:pPr>
      <w:r>
        <w:rPr/>
      </w:r>
      <w:r>
        <w:rPr/>
      </w:r>
      <w:r>
        <w:t xml:space="preserve">A person who knowingly uses, transfers, acquires or possesses fuel provided through fuel assistance in any manner not authorized by this subchapter or the rules issued under this subchapter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622, Pt. J, §23 (NEW); PL 1991, c. 622, Pt. J,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§J23 (NEW). PL 1991, c. 622, §J25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§4993.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§4993.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§4993.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