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county for use in the examination or evaluation of applicants for positions as county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402, §2 (RPR).]</w:t>
      </w:r>
    </w:p>
    <w:p>
      <w:pPr>
        <w:jc w:val="both"/>
        <w:spacing w:before="100" w:after="0"/>
        <w:ind w:start="720"/>
      </w:pPr>
      <w:r>
        <w:rPr/>
        <w:t>B</w:t>
        <w:t xml:space="preserve">.  </w:t>
      </w:r>
      <w:r>
        <w:rPr/>
      </w:r>
      <w:r>
        <w:t xml:space="preserve">County records containing the following:</w:t>
      </w:r>
    </w:p>
    <w:p>
      <w:pPr>
        <w:jc w:val="both"/>
        <w:spacing w:before="100" w:after="0"/>
        <w:ind w:start="1080"/>
      </w:pPr>
      <w:r>
        <w:rPr/>
        <w:t>(</w:t>
        <w:t>1</w:t>
        <w:t xml:space="preserve">)  </w:t>
      </w:r>
      <w:r>
        <w:rPr/>
      </w:r>
      <w:r>
        <w:t xml:space="preserve">Medical information of any kind, including information pertaining to the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2023, c. 159, §2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159, §2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§6 (NEW).]</w:t>
      </w:r>
    </w:p>
    <w:p>
      <w:pPr>
        <w:jc w:val="both"/>
        <w:spacing w:before="100" w:after="100"/>
        <w:ind w:start="360"/>
        <w:ind w:firstLine="360"/>
      </w:pPr>
      <w:r>
        <w:rPr>
          <w:b/>
        </w:rPr>
        <w:t>1-B</w:t>
        <w:t xml:space="preserve">.  </w:t>
      </w:r>
      <w:r>
        <w:rPr>
          <w:b/>
        </w:rPr>
        <w:t xml:space="preserve">Investigation of allegation of sexual misconduct or sexual harassment by county jail employee.</w:t>
        <w:t xml:space="preserve"> </w:t>
      </w:r>
      <w:r>
        <w:t xml:space="preserve"> </w:t>
      </w:r>
      <w:r>
        <w:t xml:space="preserve">Notwithstanding </w:t>
      </w:r>
      <w:r>
        <w:t>subsection 1, paragraph B</w:t>
      </w:r>
      <w:r>
        <w:t xml:space="preserve">, subparagraph (5), in the case of an allegation of sexual misconduct or sexual harassment within a county jail or detention facility, a determination that the allegation was substantiated, unsubstantiated or unfounded may be disclosed to the alleged victim. Unless the allegation is determined to be unfounded, the following information may also be shared with the alleged victim:</w:t>
      </w:r>
    </w:p>
    <w:p>
      <w:pPr>
        <w:jc w:val="both"/>
        <w:spacing w:before="100" w:after="0"/>
        <w:ind w:start="720"/>
      </w:pPr>
      <w:r>
        <w:rPr/>
        <w:t>A</w:t>
        <w:t xml:space="preserve">.  </w:t>
      </w:r>
      <w:r>
        <w:rPr/>
      </w:r>
      <w:r>
        <w:t xml:space="preserve">Whether the individual alleged to have engaged in the sexual misconduct or sexual harassment is still assigned to the same work location where the sexual misconduct or sexual harassment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B</w:t>
        <w:t xml:space="preserve">.  </w:t>
      </w:r>
      <w:r>
        <w:rPr/>
      </w:r>
      <w:r>
        <w:t xml:space="preserve">Whether the individual under </w:t>
      </w:r>
      <w:r>
        <w:t>paragraph A</w:t>
      </w:r>
      <w:r>
        <w:t xml:space="preserve"> is still employed at the county jail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C</w:t>
        <w:t xml:space="preserve">.  </w:t>
      </w:r>
      <w:r>
        <w:rPr/>
      </w:r>
      <w:r>
        <w:t xml:space="preserve">Whether the individual under </w:t>
      </w:r>
      <w:r>
        <w:t>paragraph A</w:t>
      </w:r>
      <w:r>
        <w:t xml:space="preserve"> has been criminally charged or convicted of a crime arising out of the allegation of sexual misconduct or sexual harassment; and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D</w:t>
        <w:t xml:space="preserve">.  </w:t>
      </w:r>
      <w:r>
        <w:rPr/>
      </w:r>
      <w:r>
        <w:t xml:space="preserve">Whether the prosecuting agency declined to seek an indictment or the grand jury declined to indict the individual under </w:t>
      </w:r>
      <w:r>
        <w:t>paragraph A</w:t>
      </w:r>
      <w:r>
        <w:t xml:space="preserve"> based on the allegation of sexual misconduct or sexual harassment.</w:t>
      </w:r>
      <w:r>
        <w:t xml:space="preserve">  </w:t>
      </w:r>
      <w:r xmlns:wp="http://schemas.openxmlformats.org/drawingml/2010/wordprocessingDrawing" xmlns:w15="http://schemas.microsoft.com/office/word/2012/wordml">
        <w:rPr>
          <w:rFonts w:ascii="Arial" w:hAnsi="Arial" w:cs="Arial"/>
          <w:sz w:val="22"/>
          <w:szCs w:val="22"/>
        </w:rPr>
        <w:t xml:space="preserve">[PL 2023, c. 646,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B, §2 (AMD).]</w:t>
      </w:r>
    </w:p>
    <w:p>
      <w:pPr>
        <w:jc w:val="both"/>
        <w:spacing w:before="100" w:after="10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a county official with custody of the records shall provide that employee, former employee or the employee's authorized representative with an opportunity to review the employee's personnel file, if the county official has a personnel file for that employee.  These reviews shall take place during normal office hours at the location where the personnel files are maintained.</w:t>
      </w:r>
    </w:p>
    <w:p>
      <w:pPr>
        <w:jc w:val="both"/>
        <w:spacing w:before="100" w:after="0"/>
        <w:ind w:start="720"/>
      </w:pPr>
      <w:r>
        <w:rPr/>
        <w:t>A</w:t>
        <w:t xml:space="preserve">.  </w:t>
      </w:r>
      <w:r>
        <w:rPr/>
      </w:r>
      <w:r>
        <w:t xml:space="preserve">For the purposes of this subsection, a personnel file includes, but is not limited to, any formal or informal employee evaluations and reports relating to the employee's character, credit, work habits, compensation and benefits of which the county official has possession.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records described in </w:t>
      </w:r>
      <w:r>
        <w:t>subsection 1, paragraph B</w:t>
      </w:r>
      <w:r>
        <w:t xml:space="preserve">, may also be examined by the employee to whom they relate,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§2 (AMD). PL 1991, c. 229, §2 (AMD). PL 1991, c. 729, §6 (AMD). PL 1997, c. 770, §2 (AMD). PL 2013, c. 201, §2 (AMD). PL 2019, c. 451, §2 (AMD). PL 2023, c. 159, §2 (AMD). PL 2023, c. 615, §4 (AMD). PL 2023, c. 646,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