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0-O. Certification of qualified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O. Certification of qualified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O. CERTIFICATION OF QUALIFIED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