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5681</w:t>
        <w:t xml:space="preserve">.  </w:t>
      </w:r>
      <w:r>
        <w:rPr>
          <w:b/>
        </w:rPr>
        <w:t xml:space="preserve">State-municipal revenue sharing</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w:t>
      </w:r>
      <w:r>
        <w:t xml:space="preserve">  </w:t>
      </w:r>
      <w:r xmlns:wp="http://schemas.openxmlformats.org/drawingml/2010/wordprocessingDrawing" xmlns:w15="http://schemas.microsoft.com/office/word/2012/wordml">
        <w:rPr>
          <w:rFonts w:ascii="Arial" w:hAnsi="Arial" w:cs="Arial"/>
          <w:sz w:val="22"/>
          <w:szCs w:val="22"/>
        </w:rPr>
        <w:t xml:space="preserve">[PL 2023, c. 629, §1 (AMD); PL 2023, c. 629,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2023, c. 629, §2 (AMD); PL 2023, c. 629, §3 (AFF).]</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629, §§1, 2 (AMD); PL 2023, c. 629, §3 (AFF).]</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Title 5, chapter 151‑B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PL 2023, c. 603, §1 (AMD). PL 2023, c. 629, §§1, 2 (AMD). PL 2023, c. 629,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§5681. State-municipal revenue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§5681. State-municipal revenue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§5681. STATE-MUNICIPAL REVENUE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