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6011</w:t>
        <w:t xml:space="preserve">.  </w:t>
      </w:r>
      <w:r>
        <w:rPr>
          <w:b/>
        </w:rPr>
        <w:t xml:space="preserve">Bonds as legal investments and security</w:t>
      </w:r>
    </w:p>
    <w:p>
      <w:pPr>
        <w:jc w:val="both"/>
        <w:spacing w:before="100" w:after="100"/>
        <w:ind w:start="360"/>
        <w:ind w:firstLine="360"/>
      </w:pPr>
      <w:r>
        <w:rPr/>
      </w:r>
      <w:r>
        <w:rPr/>
      </w:r>
      <w:r>
        <w:t xml:space="preserve">Notwithstanding any restrictions contained in any other law, the State and all public officers, governmental units and agencies of the State, all national banking associations, state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 or other funds belonging to them or within their control in any bonds or notes issued by the bank under this chapter.  These bonds or notes are authorized security for any and all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§6011.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§6011.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§6011.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