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§6014. Governmental unit intercept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Governmental unit intercept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§6014. GOVERNMENTAL UNIT INTERCEPT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