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Planning and land use regulation</w:t>
      </w:r>
    </w:p>
    <w:p>
      <w:pPr>
        <w:jc w:val="both"/>
        <w:spacing w:before="100" w:after="100"/>
        <w:ind w:start="360"/>
        <w:ind w:firstLine="360"/>
      </w:pPr>
      <w:r>
        <w:rPr/>
      </w:r>
      <w:r>
        <w:rPr/>
      </w:r>
      <w:r>
        <w:t xml:space="preserve">A village corporation may enact planning and land use regulation ordinances, subject to the same guidelines and standards which apply to municipalities under </w:t>
      </w:r>
      <w:r>
        <w:t>chapter 187</w:t>
      </w:r>
      <w:r>
        <w:t xml:space="preserve">.  When a conflict exists between a land use regulation ordinance of a village corporation and an ordinance of the municipality of which it is a part, the municipal ordinance prevails.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A, §52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§§A52,C10 (RPR).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§6303. Planning and land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Planning and land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§6303. PLANNING AND LAND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