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§7209. Final approval by the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Final approval by the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§7209. FINAL APPROVAL BY THE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