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900-A</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the county shall operate on an interim budget, that may not exceed 80% of the previous year's budget, until a budget is finally adopted.</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§900-A.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§900-A.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§900-A.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