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§6211. ELIGIBILITY OF INDIAN TRIBES AND STATE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