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Mobile gaming</w:t>
      </w:r>
    </w:p>
    <w:p>
      <w:pPr>
        <w:jc w:val="both"/>
        <w:spacing w:before="100" w:after="0"/>
        <w:ind w:start="360"/>
        <w:ind w:firstLine="360"/>
      </w:pPr>
      <w:r>
        <w:rPr>
          <w:b/>
        </w:rPr>
        <w:t>1</w:t>
        <w:t xml:space="preserve">.  </w:t>
      </w:r>
      <w:r>
        <w:rPr>
          <w:b/>
        </w:rPr>
        <w:t xml:space="preserve">Legislative purpose.</w:t>
        <w:t xml:space="preserve"> </w:t>
      </w:r>
      <w:r>
        <w:t xml:space="preserve"> </w:t>
      </w:r>
      <w:r>
        <w:t xml:space="preserve">The Legislature finds and declares that the conduct of mobile gaming will, if conducted by federally recognized Indian tribes in the State, serve as an effective economic development tool for tribal governments and provide economic stimulus to rural areas of the State.  The purpose of this section is to ensure that each federally recognized Indian tribe in this State has the right to conduct all forms of mobile gaming newly authorized in this State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"Gambling" has the same meaning as in </w:t>
      </w:r>
      <w:r>
        <w:t>Title 17‑A, section 952,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B</w:t>
        <w:t xml:space="preserve">.  </w:t>
      </w:r>
      <w:r>
        <w:rPr/>
      </w:r>
      <w:r>
        <w:t xml:space="preserve">"Lawful gambling activity" means any type of gambling authorized under the laws of this State, including, but not limited to, the gambling activities described in </w:t>
      </w:r>
      <w:r>
        <w:t>Title 8, section 1001,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C</w:t>
        <w:t xml:space="preserve">.  </w:t>
      </w:r>
      <w:r>
        <w:rPr/>
      </w:r>
      <w:r>
        <w:t xml:space="preserve">"Mobile gaming" means lawful gambling activity conducted through mobile applications or other digital platforms that involve, at least in part, the use of the Internet.</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w:pPr>
        <w:jc w:val="both"/>
        <w:spacing w:before="100" w:after="100"/>
        <w:ind w:start="360"/>
        <w:ind w:firstLine="360"/>
      </w:pPr>
      <w:r>
        <w:rPr>
          <w:b/>
        </w:rPr>
        <w:t>3</w:t>
        <w:t xml:space="preserve">.  </w:t>
      </w:r>
      <w:r>
        <w:rPr>
          <w:b/>
        </w:rPr>
        <w:t xml:space="preserve">Authority to conduct mobile gaming.</w:t>
        <w:t xml:space="preserve"> </w:t>
      </w:r>
      <w:r>
        <w:t xml:space="preserve"> </w:t>
      </w:r>
      <w:r>
        <w:t xml:space="preserve">Notwithstanding any provision of law to the contrary, a federally recognized Indian tribe in this State has the same right as any other person or entity to obtain any license, permit or registration to conduct mobile gaming under a law of this State enacted on or after the effective date of this section as long as the federally recognized Indian tribe meets all of the qualifications for the license, permit or registration, except that the federally recognized Indian tribe is not required to meet any requirement:</w:t>
      </w:r>
    </w:p>
    <w:p>
      <w:pPr>
        <w:jc w:val="both"/>
        <w:spacing w:before="100" w:after="0"/>
        <w:ind w:start="720"/>
      </w:pPr>
      <w:r>
        <w:rPr/>
        <w:t>A</w:t>
        <w:t xml:space="preserve">.  </w:t>
      </w:r>
      <w:r>
        <w:rPr/>
      </w:r>
      <w:r>
        <w:t xml:space="preserve">That the federally recognized Indian tribe is unable to meet due to its status as a federally recognized Indian tribe; or</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B</w:t>
        <w:t xml:space="preserve">.  </w:t>
      </w:r>
      <w:r>
        <w:rPr/>
      </w:r>
      <w:r>
        <w:t xml:space="preserve">That an applicant possess another type of gambling or wagering license, registration or permit.</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§8001. Mobile gaming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Mobile gaming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§8001. MOBILE GAMING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