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Powers</w:t>
      </w:r>
    </w:p>
    <w:p>
      <w:pPr>
        <w:jc w:val="both"/>
        <w:spacing w:before="100" w:after="100"/>
        <w:ind w:start="360"/>
        <w:ind w:firstLine="360"/>
      </w:pPr>
      <w:r>
        <w:rPr/>
      </w:r>
      <w:r>
        <w:rPr/>
      </w:r>
      <w:r>
        <w:t xml:space="preserve">A limited partnership has the powers to do all things necessary or convenient to carry on its activities, including the power to sue, be sued and defend in its own name and to maintain an action against a partner for harm caused to the limited partnership by a breach of the partnership agreement or violation of a duty to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