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Distribution in kind</w:t>
      </w:r>
    </w:p>
    <w:p>
      <w:pPr>
        <w:jc w:val="both"/>
        <w:spacing w:before="100" w:after="100"/>
        <w:ind w:start="360"/>
        <w:ind w:firstLine="360"/>
      </w:pPr>
      <w:r>
        <w:rPr/>
      </w:r>
      <w:r>
        <w:rPr/>
      </w:r>
      <w:r>
        <w:t xml:space="preserve">A partner does not have a right to demand or receive any distribution from a limited partnership in any form other than cash. Subject to </w:t>
      </w:r>
      <w:r>
        <w:t>section 1402, subsection 2</w:t>
      </w:r>
      <w:r>
        <w:t xml:space="preserve">, a limited partnership may distribute an asset in kind to the extent each partner receives a percentage of the asset equal to the partner's share of distributions.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§1366.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