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Liability of general partner and person dissociated as general partner when claim against limited partnership barred</w:t>
      </w:r>
    </w:p>
    <w:p>
      <w:pPr>
        <w:jc w:val="both"/>
        <w:spacing w:before="100" w:after="100"/>
        <w:ind w:start="360"/>
        <w:ind w:firstLine="360"/>
      </w:pPr>
      <w:r>
        <w:rPr/>
      </w:r>
      <w:r>
        <w:rPr/>
      </w:r>
      <w:r>
        <w:t xml:space="preserve">If a claim against a dissolved limited partnership is barred under </w:t>
      </w:r>
      <w:r>
        <w:t>section 1396</w:t>
      </w:r>
      <w:r>
        <w:t xml:space="preserve"> or </w:t>
      </w:r>
      <w:r>
        <w:t>1397</w:t>
      </w:r>
      <w:r>
        <w:t xml:space="preserve">, any corresponding claim under </w:t>
      </w:r>
      <w:r>
        <w:t>section 1354</w:t>
      </w:r>
      <w:r>
        <w:t xml:space="preserve"> is also barred.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§1398. Liability of general partner and person dissociated as general partner when claim against limited partnership barred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Liability of general partner and person dissociated as general partner when claim against limited partnership barred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§1398. LIABILITY OF GENERAL PARTNER AND PERSON DISSOCIATED AS GENERAL PARTNER WHEN CLAIM AGAINST LIMITED PARTNERSHIP BARRED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