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1414</w:t>
        <w:t xml:space="preserve">.  </w:t>
      </w:r>
      <w:r>
        <w:rPr>
          <w:b/>
        </w:rPr>
        <w:t xml:space="preserve">Filing of certificate of authority</w:t>
      </w:r>
    </w:p>
    <w:p>
      <w:pPr>
        <w:jc w:val="both"/>
        <w:spacing w:before="100" w:after="100"/>
        <w:ind w:start="360"/>
        <w:ind w:firstLine="360"/>
      </w:pPr>
      <w:r>
        <w:rPr/>
      </w:r>
      <w:r>
        <w:rPr/>
      </w:r>
      <w:r>
        <w:t xml:space="preserve">Unless the Secretary of State determines that an application for a certificate of authority does not comply with the filing requirements of this chapter, the Secretary of State, upon payment of all filing fees, shall file the application, prepare, sign and file a certificate of authority to transact business in this State and send a copy of the filed certificate, together with a receipt for the fees, to the foreign limited partnership or its representative.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§1414. Filing of certificate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§1414. Filing of certificate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§1414. FILING OF CERTIFICATE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