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w:t>
        <w:t xml:space="preserve">.  </w:t>
      </w:r>
      <w:r>
        <w:rPr>
          <w:b/>
        </w:rPr>
        <w:t xml:space="preserve">Proceeds and expenses</w:t>
      </w:r>
    </w:p>
    <w:p>
      <w:pPr>
        <w:jc w:val="both"/>
        <w:spacing w:before="100" w:after="100"/>
        <w:ind w:start="360"/>
        <w:ind w:firstLine="360"/>
      </w:pPr>
      <w:r>
        <w:rPr>
          <w:b/>
        </w:rPr>
        <w:t>1</w:t>
        <w:t xml:space="preserve">.  </w:t>
      </w:r>
      <w:r>
        <w:rPr>
          <w:b/>
        </w:rPr>
        <w:t xml:space="preserve">Proceeds.</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Any proceeds or other benefits of a derivative action, whether by judgment, compromise or settlement, belong to the limited partnership and not to the derivative plaintiff;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derivative plaintiff receives any proceeds, the derivative plaintiff shall immediately remit them to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Expenses.</w:t>
        <w:t xml:space="preserve"> </w:t>
      </w:r>
      <w:r>
        <w:t xml:space="preserve"> </w:t>
      </w:r>
      <w:r>
        <w:t xml:space="preserve">If a derivative action is successful in whole or in part, the court may award the plaintiff reasonable expenses, including reasonable attorney's fees, from the recovery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§1425. Proceeds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 Proceeds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§1425. PROCEEDS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