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Rules</w:t>
      </w:r>
    </w:p>
    <w:p>
      <w:pPr>
        <w:jc w:val="both"/>
        <w:spacing w:before="100" w:after="100"/>
        <w:ind w:start="360"/>
        <w:ind w:firstLine="360"/>
      </w:pPr>
      <w:r>
        <w:rPr/>
      </w:r>
      <w:r>
        <w:rPr/>
      </w:r>
      <w:r>
        <w:t xml:space="preserve">The Secretary of State may adopt rules not inconsistent with this chapter pertaining to the filing of documents with the Secretary of State.  Rules adopted pursuant to this section are routine technical rules as defined in </w:t>
      </w:r>
      <w:r>
        <w:t>Title 5, chapter 375, subchapter 2‑A</w:t>
      </w:r>
      <w:r>
        <w:t xml:space="preserve">. These may include, but are not limited to, rules to:</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Forms.</w:t>
        <w:t xml:space="preserve"> </w:t>
      </w:r>
      <w:r>
        <w:t xml:space="preserve"> </w:t>
      </w:r>
      <w:r>
        <w:t xml:space="preserve">Prescribe forms for any or all documents required or permitted to be delivered for filing under this chapter and to refuse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Approve filing.</w:t>
        <w:t xml:space="preserve"> </w:t>
      </w:r>
      <w:r>
        <w:t xml:space="preserve"> </w:t>
      </w:r>
      <w:r>
        <w:t xml:space="preserve">Refuse to file any document that is not clearly legible or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Appoint designee.</w:t>
        <w:t xml:space="preserve"> </w:t>
      </w:r>
      <w:r>
        <w:t xml:space="preserve"> </w:t>
      </w:r>
      <w:r>
        <w:t xml:space="preserve">Appoint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Electronic filings; facsimile signatures.</w:t>
        <w:t xml:space="preserve"> </w:t>
      </w:r>
      <w:r>
        <w:t xml:space="preserve"> </w:t>
      </w:r>
      <w:r>
        <w:t xml:space="preserve">Permit the filing of documents by electronic transmission and permit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Annual report filing date.</w:t>
        <w:t xml:space="preserve"> </w:t>
      </w:r>
      <w:r>
        <w:t xml:space="preserve"> </w:t>
      </w:r>
      <w:r>
        <w:t xml:space="preserve">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