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Publications</w:t>
      </w:r>
    </w:p>
    <w:p>
      <w:pPr>
        <w:jc w:val="both"/>
        <w:spacing w:before="100" w:after="100"/>
        <w:ind w:start="360"/>
        <w:ind w:firstLine="360"/>
      </w:pPr>
      <w:r>
        <w:rPr>
          <w:b/>
        </w:rPr>
        <w:t>1</w:t>
        <w:t xml:space="preserve">.  </w:t>
      </w:r>
      <w:r>
        <w:rPr>
          <w:b/>
        </w:rPr>
        <w:t xml:space="preserve">Fee schedule.</w:t>
        <w:t xml:space="preserve"> </w:t>
      </w:r>
      <w:r>
        <w:t xml:space="preserve"> </w:t>
      </w:r>
      <w:r>
        <w:t xml:space="preserve">The Secretary of State may establish by rule in accordance with the Maine Administrative Procedure Act a fee schedule to cover the cost of printing and distribution of publications and to set the procedures for the sale of these publications.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Deposit in fund.</w:t>
        <w:t xml:space="preserve"> </w:t>
      </w:r>
      <w:r>
        <w:t xml:space="preserve"> </w:t>
      </w:r>
      <w:r>
        <w:t xml:space="preserve">All fees collected pursuant to this section must be deposited in a fund for use by the Secretary of State for the purpose of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§1459.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§1459.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