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 Limited liability company agreement; scope, function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Limited liability company agreement; scope, function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§1521. LIMITED LIABILITY COMPANY AGREEMENT; SCOPE, FUNCTION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