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 Statement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Statement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§1542. STATEMENT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