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130</w:t>
      </w:r>
    </w:p>
    <w:p>
      <w:pPr>
        <w:jc w:val="center"/>
        <w:ind w:start="360"/>
        <w:spacing w:before="300" w:after="300"/>
      </w:pPr>
      <w:r>
        <w:rPr>
          <w:b/>
        </w:rPr>
        <w:t xml:space="preserve">THE PROPANE AND NATURAL GAS ACT</w:t>
      </w:r>
    </w:p>
    <w:p>
      <w:pPr>
        <w:jc w:val="center"/>
        <w:ind w:start="360"/>
        <w:spacing w:before="300" w:after="300"/>
      </w:pPr>
      <w:r>
        <w:rPr>
          <w:b/>
        </w:rPr>
        <w:t>(REPEALED)</w:t>
      </w:r>
    </w:p>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jc w:val="both"/>
        <w:spacing w:before="100" w:after="100"/>
        <w:ind w:start="1080" w:hanging="720"/>
      </w:pPr>
      <w:r>
        <w:rPr>
          <w:b/>
        </w:rPr>
        <w:t>§</w:t>
        <w:t>14806-A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LL, §10 (NEW). PL 2009, c. 344, Pt. C, §2 (RP). PL 2009, c. 344, Pt. E, §2 (AFF). </w:t>
      </w:r>
    </w:p>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130. THE PROPANE AND NATURAL GAS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