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PLUMBERS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jc w:val="center"/>
        <w:ind w:start="360"/>
        <w:spacing w:before="300" w:after="300"/>
      </w:pPr>
      <w:r>
        <w:rPr>
          <w:b/>
        </w:rPr>
        <w:t>SUBCHAPTER</w:t>
        <w:t xml:space="preserve"> </w:t>
        <w:t>2</w:t>
      </w:r>
    </w:p>
    <w:p>
      <w:pPr>
        <w:jc w:val="center"/>
        <w:ind w:start="360"/>
        <w:spacing w:before="300" w:after="300"/>
      </w:pPr>
      <w:r>
        <w:rPr>
          <w:b/>
        </w:rPr>
        <w:t xml:space="preserve">REGULATIONS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3352</w:t>
        <w:t xml:space="preserve">.  </w:t>
      </w:r>
      <w:r>
        <w:rPr>
          <w:b/>
        </w:rPr>
        <w:t xml:space="preserve">Permits; fees; hearings 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§1 (AMD). PL 1973, c. 521, §5 (RP). </w:t>
      </w:r>
    </w:p>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3</w:t>
      </w:r>
    </w:p>
    <w:p>
      <w:pPr>
        <w:jc w:val="center"/>
        <w:ind w:start="360"/>
        <w:spacing w:before="300" w:after="300"/>
      </w:pPr>
      <w:r>
        <w:rPr>
          <w:b/>
        </w:rPr>
        <w:t xml:space="preserve">EXAMINING BOARD</w:t>
      </w:r>
    </w:p>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jc w:val="both"/>
        <w:spacing w:before="100" w:after="100"/>
        <w:ind w:start="1080" w:hanging="720"/>
      </w:pPr>
      <w:r>
        <w:rPr>
          <w:b/>
        </w:rPr>
        <w:t>§</w:t>
        <w:t>3403-B</w:t>
        <w:t xml:space="preserve">.  </w:t>
      </w:r>
      <w:r>
        <w:rPr>
          <w:b/>
        </w:rPr>
        <w:t xml:space="preserve">Plumbing code</w:t>
      </w:r>
    </w:p>
    <w:p>
      <w:pPr>
        <w:jc w:val="both"/>
        <w:spacing w:before="100" w:after="0"/>
        <w:ind w:start="360"/>
        <w:ind w:firstLine="360"/>
      </w:pPr>
      <w:r>
        <w:rPr>
          <w:b/>
        </w:rPr>
        <w:t>1</w:t>
        <w:t xml:space="preserve">.  </w:t>
      </w:r>
      <w:r>
        <w:rPr>
          <w:b/>
        </w:rPr>
        <w:t xml:space="preserve">Plumbing and plumbing code.</w:t>
        <w:t xml:space="preserve"> </w:t>
      </w:r>
      <w:r>
        <w:t xml:space="preserve"> </w:t>
      </w:r>
      <w:r>
        <w:t xml:space="preserve">The board shall adopt minimum rules relating to plumbing, including a plumbing code.  All rules, including installation and inspection rules, must be consistent with this chapter and </w:t>
      </w:r>
      <w:r>
        <w:t>Title 30‑A, chapter 185, subchapter III</w:t>
      </w:r>
      <w:r>
        <w:t xml:space="preserve">, except that the authority of municipalities to adopt more restrictive ordinances under </w:t>
      </w:r>
      <w:r>
        <w:t>Title 30‑A, section 3001</w:t>
      </w:r>
      <w:r>
        <w:t xml:space="preserve"> is not preempted.  Notwithstanding the Maine Administrative Procedure Act, the adoption of a national or international published plumbing code as a new plumbing code for the State constitutes a major substantive rule and must receive affirmative action by the Legislature before adoption.  Subsequent technical amendments to any national or international published plumbing code that may be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215, §1 (AMD).]</w:t>
      </w:r>
    </w:p>
    <w:p>
      <w:pPr>
        <w:jc w:val="both"/>
        <w:spacing w:before="100" w:after="0"/>
        <w:ind w:start="360"/>
        <w:ind w:firstLine="360"/>
      </w:pPr>
      <w:r>
        <w:rPr>
          <w:b/>
        </w:rPr>
        <w:t>2</w:t>
        <w:t xml:space="preserve">.  </w:t>
      </w:r>
      <w:r>
        <w:rPr>
          <w:b/>
        </w:rPr>
        <w:t xml:space="preserve">Plumbing code violations.</w:t>
        <w:t xml:space="preserve"> </w:t>
      </w:r>
      <w:r>
        <w:t xml:space="preserve"> </w:t>
      </w:r>
      <w:r>
        <w:t xml:space="preserve">Any person who violates the rules adopted pursuant to this section is subject to sanctions pursuant to </w:t>
      </w:r>
      <w:r>
        <w:t>Title 10, section 8003, subsection 5‑A</w:t>
      </w:r>
      <w:r>
        <w:t xml:space="preserve"> and any person who violates a municipal ordinance adopted pursuant to </w:t>
      </w:r>
      <w:r>
        <w:t>Title 30‑A, sections 4201</w:t>
      </w:r>
      <w:r>
        <w:t xml:space="preserve"> and </w:t>
      </w:r>
      <w:r>
        <w:t>4211</w:t>
      </w:r>
      <w:r>
        <w:t xml:space="preserve"> must be penalized in accordance with </w:t>
      </w:r>
      <w:r>
        <w:t>Title 30‑A, section 4452</w:t>
      </w:r>
      <w:r>
        <w:t xml:space="preserve">.  Enforcement of the rules is the joint responsibility of the municipalities and the board.  The board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§C9 (NEW). PL 2001, c. 215, §1 (AMD). PL 2017, c. 210, Pt. D, §4 (AMD). </w:t>
      </w:r>
    </w:p>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jc w:val="both"/>
        <w:spacing w:before="100" w:after="100"/>
        <w:ind w:start="1080" w:hanging="720"/>
      </w:pPr>
      <w:r>
        <w:rPr>
          <w:b/>
        </w:rPr>
        <w:t>§</w:t>
        <w:t>3405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§42 (AMD). PL 1985, c. 389, §20 (AMD). PL 1995, c. 397, §56 (RP). </w:t>
      </w:r>
    </w:p>
    <w:p>
      <w:pPr>
        <w:jc w:val="both"/>
        <w:spacing w:before="100" w:after="100"/>
        <w:ind w:start="1080" w:hanging="720"/>
      </w:pPr>
      <w:r>
        <w:rPr>
          <w:b/>
        </w:rPr>
        <w:t>§</w:t>
        <w:t>3406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§6 (RP). </w:t>
      </w:r>
    </w:p>
    <w:p>
      <w:pPr>
        <w:jc w:val="center"/>
        <w:ind w:start="360"/>
        <w:spacing w:before="300" w:after="300"/>
      </w:pPr>
      <w:r>
        <w:rPr>
          <w:b/>
        </w:rPr>
        <w:t>SUBCHAPTER</w:t>
        <w:t xml:space="preserve"> </w:t>
        <w:t>4</w:t>
      </w:r>
    </w:p>
    <w:p>
      <w:pPr>
        <w:jc w:val="center"/>
        <w:ind w:start="360"/>
        <w:spacing w:before="300" w:after="300"/>
      </w:pPr>
      <w:r>
        <w:rPr>
          <w:b/>
        </w:rPr>
        <w:t xml:space="preserve">PLUMBING INSPECTORS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jc w:val="center"/>
        <w:ind w:start="360"/>
        <w:spacing w:before="300" w:after="300"/>
      </w:pPr>
      <w:r>
        <w:rPr>
          <w:b/>
        </w:rPr>
        <w:t>SUBCHAPTER</w:t>
        <w:t xml:space="preserve"> </w:t>
        <w:t>5</w:t>
      </w:r>
    </w:p>
    <w:p>
      <w:pPr>
        <w:jc w:val="center"/>
        <w:ind w:start="360"/>
        <w:spacing w:before="300" w:after="300"/>
      </w:pPr>
      <w:r>
        <w:rPr>
          <w:b/>
        </w:rPr>
        <w:t xml:space="preserve">LICENSES</w:t>
      </w:r>
    </w:p>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49.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