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Exception</w:t>
      </w:r>
    </w:p>
    <w:p>
      <w:pPr>
        <w:jc w:val="both"/>
        <w:spacing w:before="100" w:after="100"/>
        <w:ind w:start="360"/>
        <w:ind w:firstLine="360"/>
      </w:pPr>
      <w:r>
        <w:rPr/>
      </w:r>
      <w:r>
        <w:rPr/>
      </w:r>
      <w:r>
        <w:t xml:space="preserve">This chapter shall not apply to any person who is licensed to practice any healing art or science, as defined in </w:t>
      </w:r>
      <w:r>
        <w:t>section 3751</w:t>
      </w:r>
      <w:r>
        <w:t xml:space="preserve">, and who is practicing electrology in the course of that practice.</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