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13721</w:t>
        <w:t xml:space="preserve">.  </w:t>
      </w:r>
      <w:r>
        <w:rPr>
          <w:b/>
        </w:rPr>
        <w:t xml:space="preserve">Licensure and discipline</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board's responsibility for the control and regulation of the practice of pharmacy in this State includes, but is not limited to, the following actions:</w:t>
      </w:r>
    </w:p>
    <w:p>
      <w:pPr>
        <w:jc w:val="both"/>
        <w:spacing w:before="100" w:after="0"/>
        <w:ind w:start="720"/>
      </w:pPr>
      <w:r>
        <w:rPr/>
        <w:t>A</w:t>
        <w:t xml:space="preserve">.  </w:t>
      </w:r>
      <w:r>
        <w:rPr/>
      </w:r>
      <w:r>
        <w:t xml:space="preserve">The licensing by examination or by endorsement of applicants who are qualified to engage in the practice of pharmacy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289, §4 (AMD).]</w:t>
      </w:r>
    </w:p>
    <w:p>
      <w:pPr>
        <w:jc w:val="both"/>
        <w:spacing w:before="100" w:after="0"/>
        <w:ind w:start="720"/>
      </w:pPr>
      <w:r>
        <w:rPr/>
        <w:t>B</w:t>
        <w:t xml:space="preserve">.  </w:t>
      </w:r>
      <w:r>
        <w:rPr/>
      </w:r>
      <w:r>
        <w:t xml:space="preserve">The renewal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The determination and issuance of standards for recognition and approval of degree programs of schools and colleges of pharmacy whose graduates shall be eligible for licensure in this State and the specification and enforcement of requirements for practical training, including internship;</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inspection during business hours of all pharmacies, dispensaries, stores, hospital pharmacies, extended care facilities, boarding homes, nursing homes, substance use disorder treatment centers, penal institutions, family planning centers or other drug outlets in which drugs or medicines are manufactured, stored, distributed, compounded, dispensed or retailed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407, Pt. A, §145 (AMD).]</w:t>
      </w:r>
    </w:p>
    <w:p>
      <w:pPr>
        <w:jc w:val="both"/>
        <w:spacing w:before="100" w:after="0"/>
        <w:ind w:start="720"/>
      </w:pPr>
      <w:r>
        <w:rPr/>
        <w:t>E</w:t>
        <w:t xml:space="preserve">.  </w:t>
      </w:r>
      <w:r>
        <w:rPr/>
      </w:r>
      <w:r>
        <w:t xml:space="preserve">The licensing of any pharmacy as set out in </w:t>
      </w:r>
      <w:r>
        <w:t>section 13751</w:t>
      </w:r>
      <w:r>
        <w:t xml:space="preserve"> and any manufacturer or wholesaler whose products are distributed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DD, §7 (AMD).]</w:t>
      </w:r>
    </w:p>
    <w:p>
      <w:pPr>
        <w:jc w:val="both"/>
        <w:spacing w:before="100" w:after="0"/>
        <w:ind w:start="720"/>
      </w:pPr>
      <w:r>
        <w:rPr/>
        <w:t>F</w:t>
        <w:t xml:space="preserve">.  </w:t>
      </w:r>
      <w:r>
        <w:rPr/>
      </w:r>
      <w:r>
        <w:t xml:space="preserve">The enforcement of those provisions of this Act relating to the conduct or competence of pharmacists practicing in this State and the processing of complaints which could lead to the suspension, revocation or restriction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G</w:t>
        <w:t xml:space="preserve">.  </w:t>
      </w:r>
      <w:r>
        <w:rPr/>
      </w:r>
      <w:r>
        <w:t xml:space="preserve">The licensing of pharmacy interns and adoption of rules governing the training, qualification and employment of pharmacy interns and pharmacy students; and</w:t>
      </w:r>
      <w:r>
        <w:t xml:space="preserve">  </w:t>
      </w:r>
      <w:r xmlns:wp="http://schemas.openxmlformats.org/drawingml/2010/wordprocessingDrawing" xmlns:w15="http://schemas.microsoft.com/office/word/2012/wordml">
        <w:rPr>
          <w:rFonts w:ascii="Arial" w:hAnsi="Arial" w:cs="Arial"/>
          <w:sz w:val="22"/>
          <w:szCs w:val="22"/>
        </w:rPr>
        <w:t xml:space="preserve">[PL 2011, c. 496, §2 (AMD).]</w:t>
      </w:r>
    </w:p>
    <w:p>
      <w:pPr>
        <w:jc w:val="both"/>
        <w:spacing w:before="100" w:after="0"/>
        <w:ind w:start="720"/>
      </w:pPr>
      <w:r>
        <w:rPr/>
        <w:t>H</w:t>
        <w:t xml:space="preserve">.  </w:t>
      </w:r>
      <w:r>
        <w:rPr/>
      </w:r>
      <w:r>
        <w:t xml:space="preserve">The licensing of pharmacy technicians, including the fee as set under </w:t>
      </w:r>
      <w:r>
        <w:t>section 13724</w:t>
      </w:r>
      <w:r>
        <w:t xml:space="preserve">, and adoption of rules governing the training, qualification and employment of pharmacy technicians.</w:t>
      </w:r>
      <w:r>
        <w:t xml:space="preserve">  </w:t>
      </w:r>
      <w:r xmlns:wp="http://schemas.openxmlformats.org/drawingml/2010/wordprocessingDrawing" xmlns:w15="http://schemas.microsoft.com/office/word/2012/wordml">
        <w:rPr>
          <w:rFonts w:ascii="Arial" w:hAnsi="Arial" w:cs="Arial"/>
          <w:sz w:val="22"/>
          <w:szCs w:val="22"/>
        </w:rPr>
        <w:t xml:space="preserve">[PL 2007, c. 402, Pt. DD,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§4 (AMD).]</w:t>
      </w:r>
    </w:p>
    <w:p>
      <w:pPr>
        <w:jc w:val="both"/>
        <w:spacing w:before="100" w:after="0"/>
        <w:ind w:start="360"/>
        <w:ind w:firstLine="360"/>
      </w:pPr>
      <w:r>
        <w:rPr>
          <w:b/>
        </w:rPr>
        <w:t>2</w:t>
        <w:t xml:space="preserve">.  </w:t>
      </w:r>
      <w:r>
        <w:rPr>
          <w:b/>
        </w:rPr>
        <w:t xml:space="preserve">Reciprocal inspections.</w:t>
        <w:t xml:space="preserve"> </w:t>
      </w:r>
      <w:r>
        <w:t xml:space="preserve"> </w:t>
      </w:r>
      <w:r>
        <w:t xml:space="preserve">The board may enter into reciprocal inspection agreements with any state in which a mail order prescription facility selling drugs to Maine citizens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§8 (AMD).]</w:t>
      </w:r>
    </w:p>
    <w:p>
      <w:pPr>
        <w:jc w:val="both"/>
        <w:spacing w:before="100" w:after="100"/>
        <w:ind w:start="360"/>
        <w:ind w:firstLine="360"/>
      </w:pPr>
      <w:r>
        <w:rPr>
          <w:b/>
        </w:rPr>
        <w:t>3</w:t>
        <w:t xml:space="preserve">.  </w:t>
      </w:r>
      <w:r>
        <w:rPr>
          <w:b/>
        </w:rPr>
        <w:t xml:space="preserve">Pharmacist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pharmacist or pharmacy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pharmacist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§§7,8 (AMD). PL 2005, c. 262, §B1 (AMD). PL 2007, c. 288, §2 (AMD). PL 2007, c. 402, Pt. DD, §§7, 8 (AMD). PL 2011, c. 496, §2 (AMD). PL 2017, c. 407, Pt. A, §145 (AMD). PL 2021, c. 289,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§13721. Licensure and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§13721. Licensure and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§13721. LICENSURE AND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