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w:t>
        <w:t xml:space="preserve">.  </w:t>
      </w:r>
      <w:r>
        <w:rPr>
          <w:b/>
        </w:rPr>
        <w:t xml:space="preserve">Employees</w:t>
      </w:r>
    </w:p>
    <w:p>
      <w:pPr>
        <w:jc w:val="both"/>
        <w:spacing w:before="100" w:after="100"/>
        <w:ind w:start="360"/>
        <w:ind w:firstLine="360"/>
      </w:pPr>
      <w:r>
        <w:rPr/>
      </w:r>
      <w:r>
        <w:rPr/>
      </w:r>
      <w:r>
        <w:t xml:space="preserve">The commissioner may appoint, subject to the Civil Service Law, such employees as may be necessary to carry out this chapter.  Any person so employed is under the administrative and supervisory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