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13868</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B</w:t>
        <w:t xml:space="preserve">.  </w:t>
      </w:r>
      <w:r>
        <w:rPr/>
      </w:r>
      <w:r>
        <w:t xml:space="preserve">"Store and forward transfer" means the transmission of a client's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C</w:t>
        <w:t xml:space="preserve">.  </w:t>
      </w:r>
      <w:r>
        <w:rPr/>
      </w:r>
      <w:r>
        <w:t xml:space="preserve">"Synchronous encounter" means a real-time interaction conducted with an interactive audio or video connection between a client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E</w:t>
        <w:t xml:space="preserve">.  </w:t>
      </w:r>
      <w:r>
        <w:rPr/>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100"/>
        <w:ind w:start="360"/>
      </w:pPr>
      <w:r>
        <w:rPr>
          <w:b w:val="true"/>
          <w:i/>
          <w:caps w:val="true"/>
        </w:rPr>
        <w:t xml:space="preserve">Revisor's Note: </w:t>
      </w:r>
      <w:r>
        <w:t>§13868.  Services to minors with consent of a parent or guardian (As enacted by PL 2021, c. 302, §3 is REALLOCATED TO TITLE 32, SECTION 13869)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§13868.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§13868.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§13868.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