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§14503. Home repair services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§14503. HOME REPAIR SERVICES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