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14504</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 transient seller of home repair services must be licensed by the department and acquire a door-to-door sales license in the manner as set under </w:t>
      </w:r>
      <w:r>
        <w:t>section 14505</w:t>
      </w:r>
      <w:r>
        <w:t xml:space="preserve"> before engaging in the door-to-door sales of home repair services.  The licensing requirement under this section is in addition to the licensing requirements applicable to the occupation, trade or profession for which a license is required.  A transient seller who solicits sales during the course of a municipal or state repair contract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2003, c. 452, §R11 (RPR). PL 2003, c. 452, §X2 (AFF). PL 2007, c. 402, Pt. 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§14504.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