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14506</w:t>
        <w:t xml:space="preserve">.  </w:t>
      </w:r>
      <w:r>
        <w:rPr>
          <w:b/>
        </w:rPr>
        <w:t xml:space="preserve">Disclosure of license number</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 contract for door-to-door sales of home repair services by a transient seller of home repair services must include the seller's door-to-door sales license number in the following manner:  State door-to-door sales license #:  (fill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2003, c. 452, §R12 (RPR). PL 2003, c. 452, §X2 (AFF). PL 2007, c. 402, Pt. KK,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§14506. Disclosure of license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§14506. Disclosure of license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§14506. DISCLOSURE OF LICENSE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