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§X6 (RPR). PL 2001, c. 573, §B11 (AMD). PL 2001, c. 573, §B36 (AFF). PL 2007, c. 402, Pt. NN, §2 (AMD). PL 2013, c. 70, Pt. D,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