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15222</w:t>
        <w:t xml:space="preserve">.  </w:t>
      </w:r>
      <w:r>
        <w:rPr>
          <w:b/>
        </w:rPr>
        <w:t xml:space="preserve">Condemned elevators and tramways not to be operated</w:t>
      </w:r>
    </w:p>
    <w:p>
      <w:pPr>
        <w:jc w:val="both"/>
        <w:spacing w:before="100" w:after="100"/>
        <w:ind w:start="360"/>
        <w:ind w:firstLine="360"/>
      </w:pPr>
      <w:r>
        <w:rPr/>
      </w:r>
      <w:r>
        <w:rPr/>
      </w:r>
      <w:r>
        <w:t xml:space="preserve">An elevator or tramway that has been condemned under </w:t>
      </w:r>
      <w:r>
        <w:t>section 15221</w:t>
      </w:r>
      <w:r>
        <w:t xml:space="preserve"> may not be operated in this State.  Any person who owns or operates or causes to be operated for other than repair or corrective purposes an elevator or tramway in violation of this section commits a Class E crime and must be punished by a fine of not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§15222. Condemned elevators and tramways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§15222. CONDEMNED ELEVATORS AND TRAMWAYS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